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2020年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中共邵阳市大祥区纪律检查委员会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部门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绩效评价报告</w:t>
      </w:r>
    </w:p>
    <w:p>
      <w:pPr>
        <w:widowControl/>
        <w:spacing w:line="600" w:lineRule="exact"/>
        <w:ind w:firstLine="320" w:firstLineChars="1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一、纪检会部门概况</w:t>
      </w:r>
    </w:p>
    <w:p>
      <w:pPr>
        <w:widowControl/>
        <w:spacing w:line="600" w:lineRule="exact"/>
        <w:ind w:firstLine="320" w:firstLineChars="1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1、部门职责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（一）按照《中国共产党章程》和中央纪委、省纪委、市纪委有关文件规定，党的纪律检查工作方面的主要职责是：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（1）贯彻落实党中央、中央纪委、省委、省纪委、市委、市纪委和区委加强党风廉政建设和党纪检查的指示、决定；领导全区党的纪律检查工作。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维护党的章程和其他重要规章制度，协助区委整顿党风，检查党的路线、方针、政策和决议执行情况，重点检查监督乡（科）级党员领导干部执行党的路线、方针、政策和决议的情况以及思想作风等方面的情况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（3）负责对党员进行纪律教育，做出关于维护党纪的决定。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负责检查并处理全区各级党的组织和党员违反党章、党纪和国家法律、法令的重要或复杂的案件，按照管理权限决定或取消对这些案件中的党员的处分；受理党员的控告和申诉，保护党员的民主权利和合法权益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（5）协助区委组织、协调、指导各执法、执纪、监管部门开展反腐败斗争。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（6）调查全区各级党组织和党员遵纪守法情况，研究党风党纪问题，建立健全党内法规、制度。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（7）按照干部管理权限，配合区委组织部对乡镇、街道纪委和区直部、办、委、局级单位纪检组（纪委）领导干部进行考察、调整和任免。指导全区各级纪检监察干部的业务培训。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（8）承办区委和市纪委授权或交办的其他事项。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（二）按照相关法律法规的规定，行使以下监察方面的主要职责是：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（1）贯彻落实上级有关领导机关监察工作的指示，领导全区的行政监察工作。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按照分级管理原则，监察监督区人民政府各部门及其国家公务员；区人民政府及其各部门任命的其他人员；乡镇人民政府、街道办事处及其领导人员，区属企事业单位及其由国家行政机关任命的领导干部执行国家法律、法规、政策、决定、命令的情况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（3）调查监察对象遵纪守法情况，查处监察对象违反国家法律、法规、政策、决定、命令的情况及违法违纪行为，审理决定或建议对其做出处理。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（4）受理个人和单位对监察对象的检举、控告，受理监察对象不服行政处分的申诉，保护监察对象的正当权利和合法利益。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（5）研究政风政纪中带普遍性、倾向性的问题，制定地方行政监察规章制度，并组织实施。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（6）按照干部管理权限，配合乡镇、街道党（工）委和区直有关部门党委（党组）对乡镇、街道和区直部办委局级单位监察室领导干部进行考察、调整、任免和培训。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eastAsia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（7）承办区人民政府和市监察委员会授权或交办的其他事项。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fill="FFFFFF" w:themeFill="background1"/>
        <w:spacing w:line="60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hd w:val="clear" w:fill="FFFFFF" w:themeFill="background1"/>
        <w:spacing w:line="600" w:lineRule="exact"/>
        <w:ind w:firstLine="643" w:firstLineChars="200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kern w:val="0"/>
          <w:sz w:val="32"/>
          <w:szCs w:val="32"/>
        </w:rPr>
        <w:t>1、内设机构设置。</w:t>
      </w:r>
    </w:p>
    <w:p>
      <w:pPr>
        <w:pStyle w:val="6"/>
        <w:widowControl/>
        <w:shd w:val="clear" w:fill="FFFFFF" w:themeFill="background1"/>
        <w:spacing w:before="150" w:beforeAutospacing="0" w:afterAutospacing="0" w:line="45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中共邵阳市大祥区纪律检查委员会、邵阳市大祥区监察委员会内设9个职能室：办公室、案件管理室、党风政风监督室、信访室、第一纪检监察室、第二纪检监察室、第三纪检监察室、第四纪检监察室、案件审理室；9个派驻纪检监察组：派驻区委办纪检监察组、派驻区政府办纪检监察组、派驻区委组织部办纪检监察组、派驻区委宣传部办纪检监察组、派驻区委政法委纪检监察组、派驻区财政局办纪检监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组、派驻区民政局办纪检监察组、派驻区城管局办纪检监察组、派驻区农业农村局办纪检监察组。</w:t>
      </w:r>
    </w:p>
    <w:p>
      <w:pPr>
        <w:pStyle w:val="2"/>
        <w:shd w:val="clear" w:fill="FFFFFF" w:themeFill="background1"/>
        <w:ind w:firstLine="420"/>
        <w:rPr>
          <w:shd w:val="clear" w:color="auto" w:fill="auto"/>
        </w:rPr>
      </w:pPr>
    </w:p>
    <w:p>
      <w:pPr>
        <w:shd w:val="clear" w:fill="FFFFFF" w:themeFill="background1"/>
        <w:rPr>
          <w:rFonts w:ascii="黑体" w:hAnsi="黑体" w:eastAsia="黑体"/>
          <w:sz w:val="28"/>
          <w:szCs w:val="28"/>
          <w:shd w:val="clear" w:color="auto" w:fill="auto"/>
        </w:rPr>
      </w:pPr>
      <w:r>
        <w:rPr>
          <w:rFonts w:hint="eastAsia" w:ascii="黑体" w:hAnsi="黑体" w:eastAsia="黑体"/>
          <w:sz w:val="28"/>
          <w:szCs w:val="28"/>
          <w:shd w:val="clear" w:color="auto" w:fill="auto"/>
        </w:rPr>
        <w:t>二、财务收支情况说明</w:t>
      </w:r>
    </w:p>
    <w:p>
      <w:pPr>
        <w:pStyle w:val="9"/>
        <w:shd w:val="clear" w:fill="FFFFFF" w:themeFill="background1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hAnsi="黑体" w:cs="Times New Roman"/>
          <w:color w:val="auto"/>
          <w:sz w:val="32"/>
          <w:szCs w:val="32"/>
          <w:shd w:val="clear" w:color="auto" w:fill="auto"/>
        </w:rPr>
        <w:t>1</w:t>
      </w:r>
      <w:r>
        <w:rPr>
          <w:rFonts w:hAnsi="黑体" w:cs="Times New Roman"/>
          <w:color w:val="auto"/>
          <w:sz w:val="32"/>
          <w:szCs w:val="32"/>
          <w:shd w:val="clear" w:color="auto" w:fill="auto"/>
        </w:rPr>
        <w:t>、收入决算情况说明</w:t>
      </w:r>
    </w:p>
    <w:p>
      <w:pPr>
        <w:pStyle w:val="9"/>
        <w:shd w:val="clear" w:fill="FFFFFF" w:themeFill="background1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本年收入合计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985.45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万元，其中：财政拨款收入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984.51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万元， 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99.9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%；上级补助收入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%；事业收入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%；经营收入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%；附属单位上缴收入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%；其他收入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0.93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0.1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%。</w:t>
      </w:r>
    </w:p>
    <w:p>
      <w:pPr>
        <w:pStyle w:val="9"/>
        <w:shd w:val="clear" w:fill="FFFFFF" w:themeFill="background1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hAnsi="黑体" w:cs="Times New Roman"/>
          <w:color w:val="auto"/>
          <w:sz w:val="32"/>
          <w:szCs w:val="32"/>
          <w:shd w:val="clear" w:color="auto" w:fill="auto"/>
        </w:rPr>
        <w:t>2</w:t>
      </w:r>
      <w:r>
        <w:rPr>
          <w:rFonts w:hAnsi="黑体" w:cs="Times New Roman"/>
          <w:color w:val="auto"/>
          <w:sz w:val="32"/>
          <w:szCs w:val="32"/>
          <w:shd w:val="clear" w:color="auto" w:fill="auto"/>
        </w:rPr>
        <w:t>、支出决算情况说明</w:t>
      </w:r>
    </w:p>
    <w:p>
      <w:pPr>
        <w:pStyle w:val="9"/>
        <w:shd w:val="clear" w:fill="FFFFFF" w:themeFill="background1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本年支出合计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1075.61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万元，其中：基本支出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1030.24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95.78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%；项目支出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45.37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4.320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%；上缴上级支出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%；经营支出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%；对附属单位补助支出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%。</w:t>
      </w:r>
    </w:p>
    <w:p>
      <w:pPr>
        <w:pStyle w:val="9"/>
        <w:shd w:val="clear" w:fill="FFFFFF" w:themeFill="background1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3、收支结余情况说明</w:t>
      </w:r>
    </w:p>
    <w:p>
      <w:pPr>
        <w:pStyle w:val="9"/>
        <w:shd w:val="clear" w:fill="FFFFFF" w:themeFill="background1"/>
        <w:spacing w:line="600" w:lineRule="exact"/>
        <w:ind w:left="420" w:leftChars="200"/>
        <w:rPr>
          <w:rFonts w:ascii="仿宋_GB2312" w:hAnsi="仿宋_GB2312" w:eastAsia="仿宋_GB2312" w:cs="仿宋_GB2312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hd w:val="clear" w:color="auto" w:fill="auto"/>
        </w:rPr>
        <w:t>2020年，本单位年末结转和结余资金91.46万元，其中：基本支出结转91.46万元，项目结转0万元。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hAnsi="黑体" w:cs="Times New Roman"/>
          <w:color w:val="auto"/>
          <w:sz w:val="32"/>
          <w:szCs w:val="32"/>
          <w:shd w:val="clear" w:color="auto" w:fill="auto"/>
        </w:rPr>
        <w:t>4、</w:t>
      </w:r>
      <w:r>
        <w:rPr>
          <w:rFonts w:hint="eastAsia" w:hAnsi="黑体"/>
          <w:b/>
          <w:bCs/>
          <w:color w:val="555555"/>
          <w:sz w:val="32"/>
          <w:szCs w:val="32"/>
          <w:shd w:val="clear" w:color="auto" w:fill="auto"/>
        </w:rPr>
        <w:t>支出绩效情况</w:t>
      </w:r>
    </w:p>
    <w:p>
      <w:pPr>
        <w:pStyle w:val="9"/>
        <w:spacing w:line="600" w:lineRule="exact"/>
        <w:ind w:firstLine="720" w:firstLineChars="200"/>
        <w:rPr>
          <w:rFonts w:ascii="楷体_GB2312" w:hAnsi="楷体_GB2312" w:eastAsia="楷体_GB2312" w:cs="楷体_GB2312"/>
          <w:color w:val="555555"/>
          <w:sz w:val="36"/>
          <w:szCs w:val="36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555555"/>
          <w:sz w:val="36"/>
          <w:szCs w:val="36"/>
          <w:shd w:val="clear" w:color="auto" w:fill="auto"/>
        </w:rPr>
        <w:t>严格遵守各项财经纪律和财务管理制度，及时公开预决算，自觉接受财政和社会监督。加强财务管理，强化预算编制和执行，有效实施内部监督和控制，保证会计资料的真实性和完整性。实行“收支两条线”，确保财务收支平衡，加强财产物资管理，保障各项工</w:t>
      </w:r>
      <w:r>
        <w:rPr>
          <w:rFonts w:hint="eastAsia" w:ascii="楷体_GB2312" w:hAnsi="楷体_GB2312" w:eastAsia="楷体_GB2312" w:cs="楷体_GB2312"/>
          <w:color w:val="555555"/>
          <w:sz w:val="36"/>
          <w:szCs w:val="36"/>
          <w:shd w:val="clear" w:color="auto" w:fill="FFFFFF"/>
        </w:rPr>
        <w:t>作正常开展和目标任务完成。整体支出平稳，较好地实现社会效益和可持续效益目标。</w:t>
      </w:r>
    </w:p>
    <w:p>
      <w:pPr>
        <w:pStyle w:val="9"/>
        <w:spacing w:line="600" w:lineRule="exact"/>
        <w:ind w:left="420" w:leftChars="200"/>
        <w:rPr>
          <w:rFonts w:hAnsi="黑体" w:cs="Times New Roman"/>
          <w:color w:val="auto"/>
          <w:sz w:val="32"/>
          <w:szCs w:val="32"/>
        </w:rPr>
      </w:pPr>
      <w:r>
        <w:rPr>
          <w:rFonts w:hint="eastAsia" w:hAnsi="黑体" w:cs="Times New Roman"/>
          <w:color w:val="auto"/>
          <w:sz w:val="32"/>
          <w:szCs w:val="32"/>
        </w:rPr>
        <w:t>三、</w:t>
      </w:r>
      <w:r>
        <w:rPr>
          <w:rFonts w:hAnsi="黑体" w:cs="Times New Roman"/>
          <w:color w:val="auto"/>
          <w:sz w:val="32"/>
          <w:szCs w:val="32"/>
        </w:rPr>
        <w:t>预算绩效情况</w:t>
      </w:r>
    </w:p>
    <w:p>
      <w:pPr>
        <w:widowControl/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本部门整体支出和项目支出实行绩效目标管理，纳入</w:t>
      </w:r>
      <w:r>
        <w:rPr>
          <w:rFonts w:eastAsia="仿宋_GB2312"/>
          <w:kern w:val="0"/>
          <w:sz w:val="32"/>
          <w:szCs w:val="32"/>
        </w:rPr>
        <w:t>2020</w:t>
      </w:r>
      <w:r>
        <w:rPr>
          <w:rFonts w:hint="eastAsia" w:eastAsia="仿宋_GB2312" w:cs="仿宋_GB2312"/>
          <w:kern w:val="0"/>
          <w:sz w:val="32"/>
          <w:szCs w:val="32"/>
        </w:rPr>
        <w:t>年部门整体支出绩效目标的金额为</w:t>
      </w:r>
      <w:r>
        <w:rPr>
          <w:rFonts w:hint="eastAsia" w:eastAsia="仿宋_GB2312" w:cs="仿宋_GB2312"/>
          <w:sz w:val="32"/>
          <w:szCs w:val="32"/>
        </w:rPr>
        <w:t>816.33</w:t>
      </w:r>
      <w:r>
        <w:rPr>
          <w:rFonts w:hint="eastAsia" w:eastAsia="仿宋_GB2312" w:cs="仿宋_GB2312"/>
          <w:kern w:val="0"/>
          <w:sz w:val="32"/>
          <w:szCs w:val="32"/>
        </w:rPr>
        <w:t>万元，其中，基本支出</w:t>
      </w:r>
      <w:r>
        <w:rPr>
          <w:rFonts w:hint="eastAsia" w:eastAsia="仿宋_GB2312" w:cs="仿宋_GB2312"/>
          <w:sz w:val="32"/>
          <w:szCs w:val="32"/>
        </w:rPr>
        <w:t>788.73</w:t>
      </w:r>
      <w:r>
        <w:rPr>
          <w:rFonts w:hint="eastAsia" w:eastAsia="仿宋_GB2312" w:cs="仿宋_GB2312"/>
          <w:kern w:val="0"/>
          <w:sz w:val="32"/>
          <w:szCs w:val="32"/>
        </w:rPr>
        <w:t>万元，项目支出</w:t>
      </w:r>
      <w:bookmarkStart w:id="0" w:name="_GoBack"/>
      <w:r>
        <w:rPr>
          <w:rFonts w:hint="eastAsia" w:eastAsia="仿宋_GB2312" w:cs="仿宋_GB2312"/>
          <w:sz w:val="32"/>
          <w:szCs w:val="32"/>
        </w:rPr>
        <w:t>27.6</w:t>
      </w:r>
      <w:bookmarkEnd w:id="0"/>
      <w:r>
        <w:rPr>
          <w:rFonts w:hint="eastAsia" w:eastAsia="仿宋_GB2312" w:cs="仿宋_GB2312"/>
          <w:kern w:val="0"/>
          <w:sz w:val="32"/>
          <w:szCs w:val="32"/>
        </w:rPr>
        <w:t>万元。</w:t>
      </w:r>
    </w:p>
    <w:p>
      <w:pPr>
        <w:widowControl/>
        <w:numPr>
          <w:ilvl w:val="0"/>
          <w:numId w:val="1"/>
        </w:numPr>
        <w:shd w:val="clear" w:color="auto" w:fill="FFFFFF"/>
        <w:spacing w:beforeLines="50" w:afterLines="50"/>
        <w:ind w:firstLine="321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绩效完成情况</w:t>
      </w:r>
    </w:p>
    <w:p>
      <w:pPr>
        <w:widowControl/>
        <w:shd w:val="clear" w:color="auto" w:fill="FFFFFF"/>
        <w:spacing w:beforeLines="50" w:afterLines="5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区委带头抓实管党治党政治责任，旗帜鲜明、坚定不移的推进全面从严治党取得显著成效。在市纪委监委和区委的正确领导下，全区纪检监察机关围绕中心大局、聚焦主责主业，动真碰硬、忠诚履职，各项工作稳中有进、进中向好，全区政治生态持续好转、干部精气神更加提振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（一）提高政治站位，践行“两个维护”，服务中心大局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（二）坚持以人民为中心，聚焦群众身边突出问题，强化监督检查</w:t>
      </w:r>
    </w:p>
    <w:p>
      <w:pPr>
        <w:pStyle w:val="2"/>
        <w:spacing w:line="58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（三）实现“零”的突破，彰显法律威严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（四）加大巡察保障力度，加强巡察工作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（五）增强斗争本领，开展秋冬练兵</w:t>
      </w:r>
    </w:p>
    <w:p>
      <w:pPr>
        <w:pStyle w:val="2"/>
        <w:ind w:firstLine="420"/>
      </w:pP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ind w:firstLine="643" w:firstLineChars="200"/>
        <w:rPr>
          <w:rFonts w:ascii="黑体" w:hAnsi="黑体" w:eastAsia="黑体" w:cs="黑体"/>
          <w:b/>
          <w:bCs/>
          <w:color w:val="55555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555555"/>
          <w:sz w:val="32"/>
          <w:szCs w:val="32"/>
          <w:shd w:val="clear" w:color="auto" w:fill="FFFFFF"/>
        </w:rPr>
        <w:t>四、评价结论及建议</w:t>
      </w: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（一）评价结论</w:t>
      </w: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综上所述，我单位在预算编制、预算执行、支出绩效方面，严格按照规定执行，合理安排支出，使财政资金发挥最大使用效益。</w:t>
      </w: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（二）存在问题</w:t>
      </w: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预算管理和财务管理有待加强，经费核算需进一步完善。在核算过程中部分支出难以区分支出范围，资金使用存在界限不清的现象。</w:t>
      </w: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（三）改进建议</w:t>
      </w: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1、细化预算编制工作，认真做好年初预算编制。进一步加强单位内部各股室的预算管理意识，严格按照预算编制的相关要求进行编制。</w:t>
      </w: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2、加强财务管理，严格财务审核。加强单位财务管理，健全单位财务管理制度体系，规范单位财务行为。在费用报销时，按照预算规定的项目和用途进行资金使用审核、支付及财务核算，预防超支现象的发生。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>
      <w:pPr>
        <w:pStyle w:val="6"/>
        <w:widowControl/>
        <w:shd w:val="clear" w:color="auto" w:fill="FFFFFF"/>
        <w:spacing w:beforeAutospacing="0" w:after="150" w:afterAutospacing="0" w:line="450" w:lineRule="atLeast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　　3、加强对相关人员培训，特别是针对《预算法》、《政府会计制度》等方面学习培训，规范部门预算收支核算，切实提高部门预算收支管理水平。</w:t>
      </w:r>
    </w:p>
    <w:p>
      <w:pPr>
        <w:pStyle w:val="9"/>
        <w:spacing w:line="600" w:lineRule="exact"/>
        <w:ind w:firstLine="720" w:firstLineChars="200"/>
        <w:rPr>
          <w:rFonts w:ascii="楷体_GB2312" w:hAnsi="楷体_GB2312" w:eastAsia="楷体_GB2312" w:cs="楷体_GB2312"/>
          <w:color w:val="555555"/>
          <w:sz w:val="36"/>
          <w:szCs w:val="36"/>
          <w:shd w:val="clear" w:color="auto" w:fill="FFFFFF"/>
        </w:rPr>
      </w:pPr>
    </w:p>
    <w:p>
      <w:pPr>
        <w:pStyle w:val="9"/>
        <w:spacing w:line="600" w:lineRule="exact"/>
        <w:rPr>
          <w:rFonts w:hAnsi="黑体" w:cs="Times New Roman"/>
          <w:color w:val="auto"/>
          <w:sz w:val="32"/>
          <w:szCs w:val="32"/>
        </w:rPr>
      </w:pPr>
    </w:p>
    <w:p>
      <w:pPr>
        <w:pStyle w:val="9"/>
        <w:spacing w:line="600" w:lineRule="exact"/>
        <w:ind w:left="420" w:leftChars="200"/>
        <w:rPr>
          <w:rFonts w:ascii="仿宋_GB2312" w:hAnsi="仿宋_GB2312" w:eastAsia="仿宋_GB2312" w:cs="仿宋_GB2312"/>
          <w:sz w:val="32"/>
        </w:rPr>
      </w:pPr>
    </w:p>
    <w:p>
      <w:pPr>
        <w:pStyle w:val="9"/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35BAF"/>
    <w:multiLevelType w:val="singleLevel"/>
    <w:tmpl w:val="11D35B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DD74F2C"/>
    <w:rsid w:val="00BE703F"/>
    <w:rsid w:val="00C02A6F"/>
    <w:rsid w:val="07070183"/>
    <w:rsid w:val="08491B3F"/>
    <w:rsid w:val="0A863296"/>
    <w:rsid w:val="0E867584"/>
    <w:rsid w:val="0F4C056B"/>
    <w:rsid w:val="15361BB8"/>
    <w:rsid w:val="195D0A97"/>
    <w:rsid w:val="1FAC2D39"/>
    <w:rsid w:val="21F4422F"/>
    <w:rsid w:val="226861CF"/>
    <w:rsid w:val="276E367B"/>
    <w:rsid w:val="2C4904B9"/>
    <w:rsid w:val="32DF7CD9"/>
    <w:rsid w:val="33ED4D3F"/>
    <w:rsid w:val="38A31027"/>
    <w:rsid w:val="3D3B3086"/>
    <w:rsid w:val="3E7E12C6"/>
    <w:rsid w:val="3F2D0E95"/>
    <w:rsid w:val="4056704C"/>
    <w:rsid w:val="416C638C"/>
    <w:rsid w:val="46597322"/>
    <w:rsid w:val="48321978"/>
    <w:rsid w:val="489F1B9F"/>
    <w:rsid w:val="48E86B0C"/>
    <w:rsid w:val="5577673F"/>
    <w:rsid w:val="5B1F051B"/>
    <w:rsid w:val="5BE300CE"/>
    <w:rsid w:val="5BE96BF8"/>
    <w:rsid w:val="61C934F9"/>
    <w:rsid w:val="66573C3C"/>
    <w:rsid w:val="669319E0"/>
    <w:rsid w:val="66D21489"/>
    <w:rsid w:val="6DD74F2C"/>
    <w:rsid w:val="6E874EB5"/>
    <w:rsid w:val="717C16E7"/>
    <w:rsid w:val="767A61F7"/>
    <w:rsid w:val="768F7879"/>
    <w:rsid w:val="77EA3469"/>
    <w:rsid w:val="781E6AFC"/>
    <w:rsid w:val="7E043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  <w:szCs w:val="20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2327</Words>
  <Characters>217</Characters>
  <Lines>1</Lines>
  <Paragraphs>5</Paragraphs>
  <TotalTime>1</TotalTime>
  <ScaleCrop>false</ScaleCrop>
  <LinksUpToDate>false</LinksUpToDate>
  <CharactersWithSpaces>2539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2021-09-08T09:23:00Z</dcterms:created>
  <dc:creator>舍  得</dc:creator>
  <cp:lastModifiedBy>Administrator</cp:lastModifiedBy>
  <dcterms:modified xsi:type="dcterms:W3CDTF">2021-09-23T11:19:53Z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38A3963F4EC549D3BC8B711BDA7CF0FE</vt:lpwstr>
  </property>
</Properties>
</file>