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1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1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中共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新宁县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纪委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新宁县监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委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1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部门绩效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自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评报告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firstLine="560"/>
        <w:jc w:val="center"/>
        <w:textAlignment w:val="auto"/>
        <w:rPr>
          <w:rFonts w:hint="eastAsia" w:ascii="微软雅黑" w:hAnsi="微软雅黑" w:eastAsia="微软雅黑" w:cs="宋体"/>
          <w:color w:val="00000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</w:rPr>
        <w:t>一、基本情况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eastAsia="zh-CN"/>
        </w:rPr>
        <w:t>本部门共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有人员编制114名，其中机关本级50名，派驻纪检监察组48名，信息中心5名，县委巡察办、组11名。年初在编在岗102人，本年度调入5人，退休4人，年末实有在编在岗103人(其中处级干部1人)，离退休干部19人（其中离休干部1人），临聘人员3人，干部遗属2人，年末共计127人；执法执勤车辆4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  <w:t>二、工作职能职责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按照《中国共产党章程》和《中华人民共和国监察法》规定，县纪委监委的主要职责是：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）主管全县党的纪律检查工作。协助同级党委贯彻落实上级党委、纪委关于加强党风廉政建设的决定，维护党的章程和其他党内法规，检查党的路线、方针、政策和决议的执行情况。监督辖区内党委党组落实党风廉政建设主体责任，落实纪检监察机关监督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（二）主管全县监察工作。依法对所有行使公权力的公职人员进行监察，调查职务违法和职务犯罪，开展廉政建设和反腐败工作，维护宪法和法律的尊严。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（三）贯彻落实党中央、中央纪委监委、省委、省纪委监委、市委、市纪委监委和县委加强党风廉政建设和党纪检查的指示、决定；领导全县和省、市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eastAsia="zh-CN"/>
        </w:rPr>
        <w:t>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新单位党的纪律检查工作。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（四）维护党的章程和其它的重要规章制度，协助县委整顿党风，检查党的路线、方针、政策和决议执行情况，重点检查监督科级领导干部执行党的路线、方针、政策和决议的情况以及思想作风等方面的情况。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（五）负责对党员进行纪律教育，做出关于维护党的决定。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（六）负责检查并处理全县各级党的组织和党员违反党章、党纪和国家法律、法令的重要或复杂的案件，按照管理权限决定或取消对这些案件中的党员的处分；受理党员的控告和申诉，保护党员的民主权利和合法权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（七）协助县委组织、协调、指导各执法、执纪、监管部门开展反腐败斗争。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（八）调查全县各级党组织和党员遵纪守法情况，研究党风党纪问题，建立健全党内法规、制度。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（九）按照干部管理权限，配合县委组织部对乡镇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eastAsia="zh-CN"/>
        </w:rPr>
        <w:t>纪委和派驻纪检监察组的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干部进行考察、调整和任免。指导全县各级纪检监察干部的业务培训。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（十）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监察委员会依照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eastAsia="zh-CN"/>
        </w:rPr>
        <w:t>《中华人民共和国监察法》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和有关法律规定履行监督、调查、处置职责。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(十一)对公职人员开展廉政教育，对其依法履职、秉公用权、廉洁从政从业以及道德操守情况进行监督检查。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(十二)对涉嫌贪污贿赂、滥用职权、玩忽职守、权力寻租、利益输送、徇私舞弊以及浪费国家资财等职务违法和职务犯罪进行调查。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(十三）承办市纪委监委和县委授权或交办的其他事项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(十四)县委巡察办、巡察组负责对全县所有行政企事业单位党组织的巡察工作。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(十五)县纪委信息中心负责“互联网+监督”等工作。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2" w:firstLineChars="200"/>
        <w:jc w:val="both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三、部门内部控制及厉行节约制度建设情况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高度重视预算绩效管理工作，成立了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委常委、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县纪委书记、县监委主任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为组长，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县纪委常务副书记、县监委常务副主任为常务副组长，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分管财务的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县纪委副书记、县监委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副主任为副组长，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县纪委副书记、县监委副主任、县纪委常委、县监委委员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为成员的预算绩效管理领导小组，明确职能评价责任，进一步强化对财政预算支出管理意识。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(二)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加强对国家、省级财政预算资金管理方面制度的学习培训，不断提高业务工作能力。及时组织干部职工学习了省、市对培训费、会议费、差旅费、公务接待等相关的管理办法。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（三）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建立了整体支出管理方面的内控制度，并不断进行完善和修订。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2" w:firstLineChars="200"/>
        <w:jc w:val="both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四、部门整体支出管理及使用情况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eastAsia="zh-CN"/>
        </w:rPr>
        <w:t>本部门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年支出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eastAsia="zh-CN"/>
        </w:rPr>
        <w:t>总计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2659.33万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元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eastAsia="zh-CN"/>
        </w:rPr>
        <w:t>，其中本年支出合计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2658.21万元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，年末结转和结余1.12万元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按功能分类：一般公共服务支出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2337.07万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元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社会保障和就业支出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180.80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万元，卫生健康支出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24.53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万元，农林水支出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21.42万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元，住房保障支出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86.16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万元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，其他支出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0.23万元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按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eastAsia="zh-CN"/>
        </w:rPr>
        <w:t>支出性质和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经济分类：基本支出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2533.55万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元，其中：工资福利支出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1632.68万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元，商品和服务支出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799.00万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元，对个人和家庭的补助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101.65万元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项目支出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124.66万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元，其中：商品和服务支出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98.34万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元，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eastAsia="zh-CN"/>
        </w:rPr>
        <w:t>资本性支出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26.31万元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eastAsia="zh-CN"/>
        </w:rPr>
        <w:t>，本部门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“三公”经费预算数为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28.00万元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，决算数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41.25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万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元。其中：公务用车购置及运行维护费预算数为18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.00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eastAsia="zh-CN"/>
        </w:rPr>
        <w:t>万元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，决算数为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31.55万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元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公务接待费预算数为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10.00万元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，决算数为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9.70万元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。20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年“三公”经费决算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eastAsia="zh-CN"/>
        </w:rPr>
        <w:t>较上年增加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18.50万元，增加81.26%。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主要原因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:一是在年初支付了上年报账未付款；二是对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执法执勤车辆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进行了修理和保养；三是本年度外出办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理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省市纪委指定管辖案件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用车较多；四是本年度公务接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待人次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较上年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有所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增加。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2" w:firstLineChars="200"/>
        <w:jc w:val="both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五、部门整体支出绩效情况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（一）认真执行了年初部门预算和财政政策要求。本部门本年度因机构改革人员增调较多，工作经费安排严格按照年初预算和追加预算相关制度执行；认真学习财经法规，严格执行财经纪律，防止了违法违纪行为的发生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（二）保障了日常有效运转，统筹推进各项工作有序发展。严格按照厉行节约的要求，精打细算，规范事务管理工作，提高服务质量，降低运行成本，合理配置，提高保障能力，各项目标任务落到实处。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（三）加强了干部队伍建设。认真贯彻落实从严治党各项要求，把政治建设摆在首位，持之以恒推进全面从严治党，坚定理想信念，强化工作担当。把握工作规律，牢记工作根本任务、基本职责、工作格局、价值理念和工作方法，并在实践中坚持发展和丰富完善，不断提高工作能力和业务水平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2" w:firstLineChars="200"/>
        <w:jc w:val="both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六、存在的主要问题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（一）资金使用效益有待进一步提高。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（二）绩效目标设立不够明确、细化和量化。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2" w:firstLineChars="200"/>
        <w:jc w:val="both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七、改进措施和有关建议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进一步健全和完善财务管理制度及内部控制制度，规范和约束机关理财行为和程序，不断更新管理思路，在规范财务收支和控制经费增长上，创新管理手段，用新思路、新方法，改进完善财务管理方法。按照财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政支出绩效管理的要求，建立科学的财政资金效益考评制度体系，牢固树立行政成本意识，不断提高财政资金使用管理的水平和效率。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 w:bidi="ar"/>
        </w:rPr>
        <w:t>2021年9月2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  <w:lang w:val="en-US" w:eastAsia="zh-CN" w:bidi="ar"/>
        </w:rPr>
        <w:t xml:space="preserve">日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F256B"/>
    <w:rsid w:val="036069E0"/>
    <w:rsid w:val="0EFB4509"/>
    <w:rsid w:val="13116F0A"/>
    <w:rsid w:val="14356035"/>
    <w:rsid w:val="223F256B"/>
    <w:rsid w:val="34944892"/>
    <w:rsid w:val="34DE1BB0"/>
    <w:rsid w:val="3D9F3CF5"/>
    <w:rsid w:val="44CC7B98"/>
    <w:rsid w:val="482329F0"/>
    <w:rsid w:val="54E32E39"/>
    <w:rsid w:val="59011498"/>
    <w:rsid w:val="59CC50D0"/>
    <w:rsid w:val="5E840B73"/>
    <w:rsid w:val="60ED3CDB"/>
    <w:rsid w:val="626A750E"/>
    <w:rsid w:val="671D723D"/>
    <w:rsid w:val="78662F94"/>
    <w:rsid w:val="7D5D1AC6"/>
    <w:rsid w:val="7EF42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13131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313131"/>
      <w:u w:val="none"/>
    </w:rPr>
  </w:style>
  <w:style w:type="character" w:customStyle="1" w:styleId="12">
    <w:name w:val="current"/>
    <w:basedOn w:val="7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13">
    <w:name w:val="disabled"/>
    <w:basedOn w:val="7"/>
    <w:qFormat/>
    <w:uiPriority w:val="0"/>
    <w:rPr>
      <w:color w:val="CCCCCC"/>
      <w:bdr w:val="single" w:color="EEEEEE" w:sz="6" w:space="0"/>
    </w:rPr>
  </w:style>
  <w:style w:type="character" w:customStyle="1" w:styleId="14">
    <w:name w:val="date1"/>
    <w:basedOn w:val="7"/>
    <w:qFormat/>
    <w:uiPriority w:val="0"/>
    <w:rPr>
      <w:color w:val="999999"/>
      <w:sz w:val="18"/>
      <w:szCs w:val="18"/>
    </w:rPr>
  </w:style>
  <w:style w:type="character" w:customStyle="1" w:styleId="15">
    <w:name w:val="date21"/>
    <w:basedOn w:val="7"/>
    <w:qFormat/>
    <w:uiPriority w:val="0"/>
    <w:rPr>
      <w:color w:val="999999"/>
      <w:sz w:val="21"/>
      <w:szCs w:val="21"/>
    </w:rPr>
  </w:style>
  <w:style w:type="character" w:customStyle="1" w:styleId="16">
    <w:name w:val="date22"/>
    <w:basedOn w:val="7"/>
    <w:qFormat/>
    <w:uiPriority w:val="0"/>
    <w:rPr>
      <w:color w:val="999999"/>
      <w:sz w:val="21"/>
      <w:szCs w:val="21"/>
    </w:rPr>
  </w:style>
  <w:style w:type="character" w:customStyle="1" w:styleId="17">
    <w:name w:val="pagenav_total"/>
    <w:basedOn w:val="7"/>
    <w:qFormat/>
    <w:uiPriority w:val="0"/>
  </w:style>
  <w:style w:type="character" w:customStyle="1" w:styleId="18">
    <w:name w:val="pagenav_nolink"/>
    <w:basedOn w:val="7"/>
    <w:qFormat/>
    <w:uiPriority w:val="0"/>
    <w:rPr>
      <w:color w:val="999999"/>
      <w:u w:val="none"/>
      <w:bdr w:val="single" w:color="DDDDDD" w:sz="6" w:space="0"/>
      <w:shd w:val="clear" w:fill="FFFFFF"/>
    </w:rPr>
  </w:style>
  <w:style w:type="character" w:customStyle="1" w:styleId="19">
    <w:name w:val="pagenav_num_now"/>
    <w:basedOn w:val="7"/>
    <w:qFormat/>
    <w:uiPriority w:val="0"/>
    <w:rPr>
      <w:b/>
      <w:color w:val="FFFFFF"/>
      <w:u w:val="none"/>
      <w:bdr w:val="single" w:color="FF8B28" w:sz="6" w:space="0"/>
      <w:shd w:val="clear" w:fill="FF8B28"/>
    </w:rPr>
  </w:style>
  <w:style w:type="character" w:customStyle="1" w:styleId="20">
    <w:name w:val="pagenav_go"/>
    <w:basedOn w:val="7"/>
    <w:qFormat/>
    <w:uiPriority w:val="0"/>
  </w:style>
  <w:style w:type="character" w:customStyle="1" w:styleId="21">
    <w:name w:val="lanm"/>
    <w:basedOn w:val="7"/>
    <w:qFormat/>
    <w:uiPriority w:val="0"/>
    <w:rPr>
      <w:color w:val="999999"/>
      <w:sz w:val="21"/>
      <w:szCs w:val="21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2019-09-19T01:54:00Z</dcterms:created>
  <dc:creator>Administrator</dc:creator>
  <cp:lastModifiedBy>Administrator</cp:lastModifiedBy>
  <cp:lastPrinted>2021-09-26T09:25:00Z</cp:lastPrinted>
  <dcterms:modified xsi:type="dcterms:W3CDTF">2021-09-26T09:39:49Z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68E44B414B254E6FADF5DABB2111226F</vt:lpwstr>
  </property>
</Properties>
</file>